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F8" w:rsidRPr="00855759" w:rsidRDefault="00383F2C" w:rsidP="00650E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F2C">
        <w:rPr>
          <w:rFonts w:ascii="Times New Roman" w:hAnsi="Times New Roman" w:cs="Times New Roman"/>
          <w:b/>
          <w:sz w:val="28"/>
          <w:szCs w:val="28"/>
        </w:rPr>
        <w:t>МЕТОДИЧЕСКИЕ РЕКОМЕНДАЦИИ ПО ИЗУЧЕНИЮ ДИСЦИПЛИНЫ</w:t>
      </w:r>
      <w:r w:rsidR="00363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0E05" w:rsidRPr="008557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55759" w:rsidRPr="00855759">
        <w:rPr>
          <w:rFonts w:ascii="Times New Roman" w:eastAsia="Times New Roman" w:hAnsi="Times New Roman" w:cs="Times New Roman"/>
          <w:b/>
          <w:sz w:val="28"/>
          <w:szCs w:val="28"/>
        </w:rPr>
        <w:t>Медико-биологическое сопровождение физической культуры и спорта</w:t>
      </w:r>
      <w:r w:rsidR="00650E05" w:rsidRPr="008557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56364" w:rsidRPr="00E56364" w:rsidRDefault="00E56364" w:rsidP="000B63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технологии</w:t>
      </w:r>
    </w:p>
    <w:p w:rsidR="00E56364" w:rsidRPr="00E56364" w:rsidRDefault="00E56364" w:rsidP="000B6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364" w:rsidRPr="00E56364" w:rsidRDefault="00E56364" w:rsidP="000B6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целенаправленного и эффективного формирования запланированных компетенций предусмотрены следующие образовательные технологии: </w:t>
      </w:r>
    </w:p>
    <w:p w:rsidR="00E56364" w:rsidRPr="00E56364" w:rsidRDefault="00E56364" w:rsidP="00E563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Информационно-коммуникативные технологии, позволяющие овладевать и свободно оперировать большим запасом знаний путем самостоятельного изучения профессиональной литературы, применения новых информационных технологий, включая использование технических и электронных средств получения информации. </w:t>
      </w:r>
    </w:p>
    <w:p w:rsidR="00E56364" w:rsidRPr="00E56364" w:rsidRDefault="00E56364" w:rsidP="00E563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Проблемно-ориентированные технологии, направленные на формирование и развитие проблемного мышления, мыслительной активности, способности видеть и формулировать проблемы, выбирать средства для их решения. </w:t>
      </w:r>
    </w:p>
    <w:p w:rsidR="00E56364" w:rsidRPr="00E56364" w:rsidRDefault="00E56364" w:rsidP="00E563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Практико-ориентированные технологии, направленные на формирование системы профессиональных практических умений и навыков, позволяющих качественно осуществлять профессиональную деятельность. </w:t>
      </w:r>
    </w:p>
    <w:p w:rsidR="00E56364" w:rsidRPr="00E56364" w:rsidRDefault="00E56364" w:rsidP="00E563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Личностно-ориентированные технологии, обеспечивающие   в ходе учебного процесса учет различных способностей обучаемых, создание необходимых условий для развития их индивидуальных способностей, развитие активности личности учебном процессе.</w:t>
      </w:r>
    </w:p>
    <w:p w:rsidR="00E56364" w:rsidRPr="00E56364" w:rsidRDefault="00E56364" w:rsidP="00E563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технологии, позволяющие равномерно во время занятия распределять различные виды заданий, определять время подачи сложного учебного материала, выделять время на проведение самостоятельных работ. </w:t>
      </w:r>
    </w:p>
    <w:p w:rsidR="00E56364" w:rsidRPr="00E56364" w:rsidRDefault="00E56364" w:rsidP="00E563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6364" w:rsidRPr="00E56364" w:rsidRDefault="00E56364" w:rsidP="00E563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указанных технологий используются следующие сочетания методов и форм организации обучения: </w:t>
      </w:r>
    </w:p>
    <w:p w:rsidR="00E56364" w:rsidRPr="00E56364" w:rsidRDefault="00E56364" w:rsidP="00E56364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Лекционная система обучения; </w:t>
      </w:r>
    </w:p>
    <w:p w:rsidR="00E56364" w:rsidRPr="00E56364" w:rsidRDefault="00E56364" w:rsidP="00E56364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Информационно-коммуникационные технологии;</w:t>
      </w:r>
    </w:p>
    <w:p w:rsidR="00E56364" w:rsidRPr="00E56364" w:rsidRDefault="00E56364" w:rsidP="00E56364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методы обучения; </w:t>
      </w:r>
    </w:p>
    <w:p w:rsidR="00E56364" w:rsidRPr="00E56364" w:rsidRDefault="00E56364" w:rsidP="00E56364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Исследовательские методы в обучении;</w:t>
      </w:r>
    </w:p>
    <w:p w:rsidR="00E56364" w:rsidRPr="00E56364" w:rsidRDefault="00E56364" w:rsidP="00E56364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Проблемное обучение. </w:t>
      </w:r>
    </w:p>
    <w:p w:rsidR="00E56364" w:rsidRPr="00E56364" w:rsidRDefault="00E56364" w:rsidP="00E563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6364" w:rsidRPr="00E56364" w:rsidRDefault="00E56364" w:rsidP="00E563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</w:t>
      </w:r>
      <w:r w:rsidRPr="00FA2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дисциплины </w:t>
      </w:r>
      <w:r w:rsidR="00FA2184" w:rsidRPr="00FA2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855759" w:rsidRPr="008557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Медико-биологическое сопровождение физической культуры и спорта</w:t>
      </w:r>
      <w:bookmarkStart w:id="0" w:name="_GoBack"/>
      <w:bookmarkEnd w:id="0"/>
      <w:r w:rsidR="00FA2184" w:rsidRPr="00FA2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A2184">
        <w:rPr>
          <w:rFonts w:ascii="Times New Roman" w:hAnsi="Times New Roman" w:cs="Times New Roman"/>
          <w:sz w:val="24"/>
          <w:szCs w:val="24"/>
        </w:rPr>
        <w:t xml:space="preserve"> </w:t>
      </w: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широкое использование в учебном процессе активных и интерактивных форм проведения занятий (компьютерные симуляции, разбор конкретных ситуаций, работа над проектами) в сочетании с внеаудиторной работой с целью формирования и развития профессиональных навыков обучающихся. Эффективность применения интерактивных форм обучения обеспечивается реализацией следующих условий:  </w:t>
      </w:r>
    </w:p>
    <w:p w:rsidR="00E56364" w:rsidRPr="00E56364" w:rsidRDefault="00E56364" w:rsidP="00E56364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диалогического пространства в организации учебного процесса;  </w:t>
      </w:r>
    </w:p>
    <w:p w:rsidR="00E56364" w:rsidRPr="00E56364" w:rsidRDefault="00E56364" w:rsidP="00E56364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принципов социально-психологического обучения в учебной и научной деятельности;  </w:t>
      </w:r>
    </w:p>
    <w:p w:rsidR="00E56364" w:rsidRPr="00E56364" w:rsidRDefault="00E56364" w:rsidP="00E56364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психологической готовности преподавателей к использованию интерактивных форм обучения, направленных на развитие внутренней активности студентов. </w:t>
      </w:r>
    </w:p>
    <w:p w:rsidR="00E56364" w:rsidRPr="00E56364" w:rsidRDefault="00E56364" w:rsidP="00E5636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9"/>
        <w:gridCol w:w="2155"/>
        <w:gridCol w:w="2300"/>
        <w:gridCol w:w="2371"/>
      </w:tblGrid>
      <w:tr w:rsidR="00E56364" w:rsidRPr="00E56364" w:rsidTr="00035987">
        <w:trPr>
          <w:trHeight w:val="255"/>
        </w:trPr>
        <w:tc>
          <w:tcPr>
            <w:tcW w:w="2407" w:type="dxa"/>
            <w:vMerge w:val="restart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 xml:space="preserve">Методы </w:t>
            </w:r>
          </w:p>
        </w:tc>
        <w:tc>
          <w:tcPr>
            <w:tcW w:w="7221" w:type="dxa"/>
            <w:gridSpan w:val="3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Формы организации обучения</w:t>
            </w:r>
          </w:p>
        </w:tc>
      </w:tr>
      <w:tr w:rsidR="00E56364" w:rsidRPr="00E56364" w:rsidTr="00035987">
        <w:trPr>
          <w:trHeight w:val="570"/>
        </w:trPr>
        <w:tc>
          <w:tcPr>
            <w:tcW w:w="2407" w:type="dxa"/>
            <w:vMerge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лекции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практические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 xml:space="preserve">самостоятельная работа </w:t>
            </w:r>
          </w:p>
        </w:tc>
      </w:tr>
      <w:tr w:rsidR="00E56364" w:rsidRPr="00E56364" w:rsidTr="00035987">
        <w:tc>
          <w:tcPr>
            <w:tcW w:w="2407" w:type="dxa"/>
          </w:tcPr>
          <w:p w:rsidR="00E56364" w:rsidRPr="00E56364" w:rsidRDefault="00E56364" w:rsidP="00035987">
            <w:pPr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 xml:space="preserve">IT- методы   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</w:tr>
      <w:tr w:rsidR="00E56364" w:rsidRPr="00E56364" w:rsidTr="00035987">
        <w:tc>
          <w:tcPr>
            <w:tcW w:w="2407" w:type="dxa"/>
          </w:tcPr>
          <w:p w:rsidR="00E56364" w:rsidRPr="00E56364" w:rsidRDefault="00E56364" w:rsidP="00035987">
            <w:pPr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 xml:space="preserve">Дискуссия  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56364" w:rsidRPr="00E56364" w:rsidTr="00035987">
        <w:tc>
          <w:tcPr>
            <w:tcW w:w="2407" w:type="dxa"/>
          </w:tcPr>
          <w:p w:rsidR="00E56364" w:rsidRPr="00E56364" w:rsidRDefault="00E56364" w:rsidP="00035987">
            <w:pPr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 xml:space="preserve">Работа в команде     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</w:tcPr>
          <w:p w:rsidR="00E56364" w:rsidRPr="00E56364" w:rsidRDefault="00E56364" w:rsidP="00035987">
            <w:pPr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</w:tr>
      <w:tr w:rsidR="00E56364" w:rsidRPr="00E56364" w:rsidTr="00035987">
        <w:tc>
          <w:tcPr>
            <w:tcW w:w="2407" w:type="dxa"/>
          </w:tcPr>
          <w:p w:rsidR="00E56364" w:rsidRPr="00E56364" w:rsidRDefault="00E56364" w:rsidP="00035987">
            <w:pPr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 xml:space="preserve">Методы проблемного обучения  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</w:tr>
      <w:tr w:rsidR="00E56364" w:rsidRPr="00E56364" w:rsidTr="00035987">
        <w:tc>
          <w:tcPr>
            <w:tcW w:w="2407" w:type="dxa"/>
          </w:tcPr>
          <w:p w:rsidR="00E56364" w:rsidRPr="00E56364" w:rsidRDefault="00E56364" w:rsidP="00035987">
            <w:pPr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 xml:space="preserve"> Индивидуальное обучение    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</w:tr>
      <w:tr w:rsidR="00E56364" w:rsidRPr="00E56364" w:rsidTr="00035987">
        <w:tc>
          <w:tcPr>
            <w:tcW w:w="2407" w:type="dxa"/>
          </w:tcPr>
          <w:p w:rsidR="00E56364" w:rsidRPr="00E56364" w:rsidRDefault="00E56364" w:rsidP="00035987">
            <w:pPr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 xml:space="preserve">Исследовательские методы 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</w:tcPr>
          <w:p w:rsidR="00E56364" w:rsidRPr="00E56364" w:rsidRDefault="00E56364" w:rsidP="00035987">
            <w:pPr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  <w:tc>
          <w:tcPr>
            <w:tcW w:w="2407" w:type="dxa"/>
          </w:tcPr>
          <w:p w:rsidR="00E56364" w:rsidRPr="00E56364" w:rsidRDefault="00E56364" w:rsidP="00035987">
            <w:pPr>
              <w:jc w:val="center"/>
              <w:rPr>
                <w:sz w:val="28"/>
                <w:szCs w:val="28"/>
              </w:rPr>
            </w:pPr>
            <w:r w:rsidRPr="00E56364">
              <w:rPr>
                <w:sz w:val="28"/>
                <w:szCs w:val="28"/>
              </w:rPr>
              <w:t>+</w:t>
            </w:r>
          </w:p>
        </w:tc>
      </w:tr>
    </w:tbl>
    <w:p w:rsidR="00E56364" w:rsidRDefault="00E56364" w:rsidP="00383F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7A">
        <w:rPr>
          <w:rFonts w:ascii="Times New Roman" w:hAnsi="Times New Roman" w:cs="Times New Roman"/>
          <w:b/>
          <w:sz w:val="28"/>
          <w:szCs w:val="28"/>
        </w:rPr>
        <w:t>IT – методы.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Основой поддержки процесса образования являются современные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информационные технологии, которые имеют следующие преимущества: наглядность,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возможность использования комбинированных форм представления информации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графическое изображение, анимация, обработка </w:t>
      </w:r>
      <w:r w:rsidRPr="009B7E7A">
        <w:rPr>
          <w:rFonts w:ascii="Times New Roman" w:hAnsi="Times New Roman" w:cs="Times New Roman"/>
          <w:sz w:val="28"/>
          <w:szCs w:val="28"/>
        </w:rPr>
        <w:lastRenderedPageBreak/>
        <w:t>и хранение больших объемов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информации, доступ к мировым информационным ресурсам.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 xml:space="preserve">IT – технологии способствуют развитию творческих способностей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9B7E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обучению новым профессиональным навыкам и умениям, развитию 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мышления, усилению роли самостоятельной работы обучаемого.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При изучении учебных дисциплин на кафедре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ТиМФК</w:t>
      </w:r>
      <w:proofErr w:type="spellEnd"/>
      <w:r w:rsidRPr="009B7E7A">
        <w:rPr>
          <w:rFonts w:ascii="Times New Roman" w:hAnsi="Times New Roman" w:cs="Times New Roman"/>
          <w:sz w:val="28"/>
          <w:szCs w:val="28"/>
        </w:rPr>
        <w:t>» применяются следующие</w:t>
      </w:r>
      <w:r w:rsidR="00ED1888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направления использования информационных технологий: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компьютерные программы и обучающие системы, представляющие собой:</w:t>
      </w:r>
      <w:r w:rsidR="00ED1888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компьютерные учебники, предназначенные для формирования новых знаний и навыков;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тестовые системы, предназначенные для диагностирования, оценивания и</w:t>
      </w:r>
      <w:r w:rsidR="00ED1888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проверки знаний, способностей и умений;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базы данных и базы знаний по различным областям, обеспечивающие доступ к</w:t>
      </w:r>
      <w:r w:rsidR="00ED1888">
        <w:rPr>
          <w:rFonts w:ascii="Times New Roman" w:hAnsi="Times New Roman" w:cs="Times New Roman"/>
          <w:sz w:val="28"/>
          <w:szCs w:val="28"/>
        </w:rPr>
        <w:t xml:space="preserve"> </w:t>
      </w:r>
      <w:r w:rsidR="00CB5706">
        <w:rPr>
          <w:rFonts w:ascii="Times New Roman" w:hAnsi="Times New Roman" w:cs="Times New Roman"/>
          <w:sz w:val="28"/>
          <w:szCs w:val="28"/>
        </w:rPr>
        <w:t>накопленным знаниям</w:t>
      </w:r>
      <w:r w:rsidRPr="009B7E7A">
        <w:rPr>
          <w:rFonts w:ascii="Times New Roman" w:hAnsi="Times New Roman" w:cs="Times New Roman"/>
          <w:sz w:val="28"/>
          <w:szCs w:val="28"/>
        </w:rPr>
        <w:t>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прикладные и инструментальные программные средства, обеспечивающие</w:t>
      </w:r>
      <w:r w:rsidR="00CB570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выполнение конкретных учебных операций (обработку текстов, составление таблиц,</w:t>
      </w:r>
      <w:r w:rsidR="00CB570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редактирование графической информации и др.).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системы на базе мультимедиа-технологии, построенные с применением</w:t>
      </w:r>
      <w:r w:rsidR="00CB570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видеотехники, накопителей на CD-ROM.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Положительным при использовании информационных технологий в образовании</w:t>
      </w:r>
      <w:r w:rsidR="00CB570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является повышение качества обучения за счет: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большей адаптации обучаемого к учебному материалу с учетом собственных</w:t>
      </w:r>
      <w:r w:rsidR="00CB570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возможностей и способностей;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возможности выбора более подходящего для обучаемого метода усвоения</w:t>
      </w:r>
      <w:r w:rsidR="00CB570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предмета;</w:t>
      </w:r>
    </w:p>
    <w:p w:rsidR="00CB5706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регулирования интенсивности обучения на различных этапах учебного процесса;</w:t>
      </w:r>
    </w:p>
    <w:p w:rsidR="009B7E7A" w:rsidRPr="009B7E7A" w:rsidRDefault="00CB5706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7E7A" w:rsidRPr="009B7E7A">
        <w:rPr>
          <w:rFonts w:ascii="Times New Roman" w:hAnsi="Times New Roman" w:cs="Times New Roman"/>
          <w:sz w:val="28"/>
          <w:szCs w:val="28"/>
        </w:rPr>
        <w:t>самоконтроля;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доступа к ранее недосягаемым образовательным ресурсам российского и</w:t>
      </w:r>
      <w:r w:rsidR="00CB570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мирового уровня;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поддержки активных методов обучения;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образной наглядной формы представления изучаемого материала;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модульного принципа построения, позволяющего тиражировать отдельные</w:t>
      </w:r>
      <w:r w:rsidR="00CB570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составные части информационной технологии;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- развития самостоятельного обучения.</w:t>
      </w:r>
    </w:p>
    <w:p w:rsidR="00CB5706" w:rsidRDefault="00CB5706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E7A" w:rsidRPr="00CB5706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706">
        <w:rPr>
          <w:rFonts w:ascii="Times New Roman" w:hAnsi="Times New Roman" w:cs="Times New Roman"/>
          <w:b/>
          <w:sz w:val="28"/>
          <w:szCs w:val="28"/>
        </w:rPr>
        <w:t>Дискуссия</w:t>
      </w:r>
    </w:p>
    <w:p w:rsidR="004F54E1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 xml:space="preserve">При проведении контрольных мероприятий на кафедре </w:t>
      </w:r>
      <w:r w:rsidR="004F54E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54E1">
        <w:rPr>
          <w:rFonts w:ascii="Times New Roman" w:hAnsi="Times New Roman" w:cs="Times New Roman"/>
          <w:sz w:val="28"/>
          <w:szCs w:val="28"/>
        </w:rPr>
        <w:t>ТиМФК</w:t>
      </w:r>
      <w:proofErr w:type="spellEnd"/>
      <w:r w:rsidR="004F54E1">
        <w:rPr>
          <w:rFonts w:ascii="Times New Roman" w:hAnsi="Times New Roman" w:cs="Times New Roman"/>
          <w:sz w:val="28"/>
          <w:szCs w:val="28"/>
        </w:rPr>
        <w:t>»</w:t>
      </w:r>
      <w:r w:rsidRPr="009B7E7A">
        <w:rPr>
          <w:rFonts w:ascii="Times New Roman" w:hAnsi="Times New Roman" w:cs="Times New Roman"/>
          <w:sz w:val="28"/>
          <w:szCs w:val="28"/>
        </w:rPr>
        <w:t xml:space="preserve"> используется такая образовательная технология, как дискуссия, то есть коллективное обсуждение какой-либо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проблемы или круга вопросов с целью нахождения правильного ответа. Такой способ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организации совместной деятельности позволяет интенсифицировать эффективность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учебного процесса за счет активного включения обучаемых в коллективный поиск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истины, а также сопоставления информации, идей, мнений, предложений.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lastRenderedPageBreak/>
        <w:t>Тема дискуссии объявляется преподавателем заранее. Студенты изучают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соответствующую литературу, получают необходимую информацию, в том числе с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использованием IT – методов. 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В ходе дискуссии каждый студент имеет право высказать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свою точку зрения. Дискуссия формирует умение рассуждать, доказывать, формулировать</w:t>
      </w:r>
    </w:p>
    <w:p w:rsidR="009B7E7A" w:rsidRPr="009B7E7A" w:rsidRDefault="009B7E7A" w:rsidP="004F5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проблему и т.п.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 ходе дискуссии необходимо договариваться об общем понимании терминов, а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также общем понимании темы или проблемы. При этом дискуссии могут преследовать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разные цели - обсуждение проблемы, достижение согласия, прояснение позиций,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углубление понимания вопроса, нахождение различных вариантов решения и видение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этой вариативности, развитие умений занимать и отстаивать свою точку зрения,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улучшение навыков активного слушания. Необходимо, чтобы у участников было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достаточно материалов для обсуждения проблемы.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Обстановка в процессе проведения дискуссии должна быть непринужденной,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студенты раскованными, мнение каждого считается ценным и обсуждается. Можно</w:t>
      </w:r>
      <w:r w:rsidR="004F54E1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высказывать любые предположения, в том числе парадоксальные и нереальные.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Способы вовлечения в дискуссию: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1. Положительный климат в группе (уважительное отношение друг к другу).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2. Демократические нормы обсуждения, запрещение оскорбительных выпадов.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3. Подготовка студентов к обсуждению – изучение информации по обсуждаемой теме,</w:t>
      </w:r>
      <w:r w:rsidR="007610EA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время на формирование вопросов и точек зрения («репетиция размышлений»).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4. Обучение навыкам приглашения к обсуждению и предотвращению доминирования при</w:t>
      </w:r>
      <w:r w:rsidR="007610EA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обсуждении.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5. Необходимо предоставлять достаточное количество времени.</w:t>
      </w:r>
    </w:p>
    <w:p w:rsidR="009B7E7A" w:rsidRPr="009B7E7A" w:rsidRDefault="007610E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B7E7A" w:rsidRPr="009B7E7A">
        <w:rPr>
          <w:rFonts w:ascii="Times New Roman" w:hAnsi="Times New Roman" w:cs="Times New Roman"/>
          <w:sz w:val="28"/>
          <w:szCs w:val="28"/>
        </w:rPr>
        <w:t>. Обсуждать дискуссию после ее окончания.</w:t>
      </w:r>
    </w:p>
    <w:p w:rsidR="007610EA" w:rsidRPr="007610EA" w:rsidRDefault="007610E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E7A" w:rsidRPr="007610E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0EA">
        <w:rPr>
          <w:rFonts w:ascii="Times New Roman" w:hAnsi="Times New Roman" w:cs="Times New Roman"/>
          <w:b/>
          <w:sz w:val="28"/>
          <w:szCs w:val="28"/>
        </w:rPr>
        <w:t>Работа в команде.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 xml:space="preserve">Работа в команде </w:t>
      </w:r>
      <w:r w:rsidR="00496EA0" w:rsidRPr="009B7E7A">
        <w:rPr>
          <w:rFonts w:ascii="Times New Roman" w:hAnsi="Times New Roman" w:cs="Times New Roman"/>
          <w:sz w:val="28"/>
          <w:szCs w:val="28"/>
        </w:rPr>
        <w:t>предполагает,</w:t>
      </w:r>
      <w:r w:rsidRPr="009B7E7A">
        <w:rPr>
          <w:rFonts w:ascii="Times New Roman" w:hAnsi="Times New Roman" w:cs="Times New Roman"/>
          <w:sz w:val="28"/>
          <w:szCs w:val="28"/>
        </w:rPr>
        <w:t xml:space="preserve"> как самостоятельность мышления включенных в</w:t>
      </w:r>
      <w:r w:rsidR="00496EA0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нее студентов, так и вовлеченность студентов в общую работу для решения поставленных</w:t>
      </w:r>
      <w:r w:rsidR="00496EA0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перед командой задач.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 xml:space="preserve">На кафедре </w:t>
      </w:r>
      <w:r w:rsidR="00496E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96EA0">
        <w:rPr>
          <w:rFonts w:ascii="Times New Roman" w:hAnsi="Times New Roman" w:cs="Times New Roman"/>
          <w:sz w:val="28"/>
          <w:szCs w:val="28"/>
        </w:rPr>
        <w:t>ТиМФК</w:t>
      </w:r>
      <w:proofErr w:type="spellEnd"/>
      <w:r w:rsidR="00496EA0">
        <w:rPr>
          <w:rFonts w:ascii="Times New Roman" w:hAnsi="Times New Roman" w:cs="Times New Roman"/>
          <w:sz w:val="28"/>
          <w:szCs w:val="28"/>
        </w:rPr>
        <w:t xml:space="preserve">» </w:t>
      </w:r>
      <w:r w:rsidRPr="009B7E7A">
        <w:rPr>
          <w:rFonts w:ascii="Times New Roman" w:hAnsi="Times New Roman" w:cs="Times New Roman"/>
          <w:sz w:val="28"/>
          <w:szCs w:val="28"/>
        </w:rPr>
        <w:t>практикуется такая форма работы в команде, как</w:t>
      </w:r>
      <w:r w:rsidR="00496EA0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496EA0">
        <w:rPr>
          <w:rFonts w:ascii="Times New Roman" w:hAnsi="Times New Roman" w:cs="Times New Roman"/>
          <w:sz w:val="28"/>
          <w:szCs w:val="28"/>
        </w:rPr>
        <w:t xml:space="preserve">контрольных рубежей </w:t>
      </w:r>
      <w:r w:rsidRPr="009B7E7A">
        <w:rPr>
          <w:rFonts w:ascii="Times New Roman" w:hAnsi="Times New Roman" w:cs="Times New Roman"/>
          <w:sz w:val="28"/>
          <w:szCs w:val="28"/>
        </w:rPr>
        <w:t>теоретического курса</w:t>
      </w:r>
      <w:r w:rsidR="00496EA0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 других контрольных мероприятий в игровой форме. При этом появляется мощный</w:t>
      </w:r>
      <w:r w:rsidR="00496EA0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социальный стимул – зависимость общей успеваемости команды студентов от уровня</w:t>
      </w:r>
      <w:r w:rsidR="00496EA0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знаний каждого ее члена.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Игровое занятие целесообразно проводить:</w:t>
      </w:r>
    </w:p>
    <w:p w:rsidR="009B7E7A" w:rsidRPr="009B7E7A" w:rsidRDefault="009B7E7A" w:rsidP="00FE0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 xml:space="preserve">1) в конце цикла </w:t>
      </w:r>
      <w:r w:rsidR="00496EA0">
        <w:rPr>
          <w:rFonts w:ascii="Times New Roman" w:hAnsi="Times New Roman" w:cs="Times New Roman"/>
          <w:sz w:val="28"/>
          <w:szCs w:val="28"/>
        </w:rPr>
        <w:t>практических занятий</w:t>
      </w:r>
      <w:r w:rsidRPr="009B7E7A">
        <w:rPr>
          <w:rFonts w:ascii="Times New Roman" w:hAnsi="Times New Roman" w:cs="Times New Roman"/>
          <w:sz w:val="28"/>
          <w:szCs w:val="28"/>
        </w:rPr>
        <w:t xml:space="preserve"> для допуска к экзамену; в этом случае</w:t>
      </w:r>
      <w:r w:rsidR="00496EA0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тематика вопросов из общего списка должна соот</w:t>
      </w:r>
      <w:r w:rsidR="00FE0B99">
        <w:rPr>
          <w:rFonts w:ascii="Times New Roman" w:hAnsi="Times New Roman" w:cs="Times New Roman"/>
          <w:sz w:val="28"/>
          <w:szCs w:val="28"/>
        </w:rPr>
        <w:t>ветствовать перечню практических занятий</w:t>
      </w:r>
      <w:r w:rsidRPr="009B7E7A">
        <w:rPr>
          <w:rFonts w:ascii="Times New Roman" w:hAnsi="Times New Roman" w:cs="Times New Roman"/>
          <w:sz w:val="28"/>
          <w:szCs w:val="28"/>
        </w:rPr>
        <w:t>, предусмотренных учебным планом;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2) в качестве недифференцированной формы рейтинг-контроля;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3) как зачет по каким-то разделам</w:t>
      </w:r>
      <w:r w:rsidR="00FE0B99">
        <w:rPr>
          <w:rFonts w:ascii="Times New Roman" w:hAnsi="Times New Roman" w:cs="Times New Roman"/>
          <w:sz w:val="28"/>
          <w:szCs w:val="28"/>
        </w:rPr>
        <w:t xml:space="preserve"> курса</w:t>
      </w:r>
      <w:r w:rsidRPr="009B7E7A">
        <w:rPr>
          <w:rFonts w:ascii="Times New Roman" w:hAnsi="Times New Roman" w:cs="Times New Roman"/>
          <w:sz w:val="28"/>
          <w:szCs w:val="28"/>
        </w:rPr>
        <w:t>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lastRenderedPageBreak/>
        <w:t>Правила игры в команде и ее организация.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I.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Численный состав команды. Играющая группа (подгруппа) не должна быть менее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6 человек (при меньшей численности "эффект команды" исчезает).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2.Техника игры. Играющие студенты должны находится лицом друг к другу. Для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этого лучше сдвинуть вместе несколько столов так, чтобы они составляли единую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плоскость, и рассадить студентов вокруг него. Ответы на вопросы игроки передают друг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другу с помощью мяча (наиболее удобен мягкий мяч размером с теннисный), перекатывая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его по плоскости стола. Отвечает на вопрос тот студент, у которого находится мяч, но два ответа подряд не допускается. Запрещены подсказки и обсуждения (кроме тайм-аутов).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Мяч в игру вводит преподаватель. Можно это делать перед первым вопросом, можно и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после. В первом случае студенты сами выбирают отвечающего, во втором </w:t>
      </w:r>
      <w:r w:rsidR="00FE0B99">
        <w:rPr>
          <w:rFonts w:ascii="Times New Roman" w:hAnsi="Times New Roman" w:cs="Times New Roman"/>
          <w:sz w:val="28"/>
          <w:szCs w:val="28"/>
        </w:rPr>
        <w:t>–</w:t>
      </w:r>
      <w:r w:rsidRPr="009B7E7A">
        <w:rPr>
          <w:rFonts w:ascii="Times New Roman" w:hAnsi="Times New Roman" w:cs="Times New Roman"/>
          <w:sz w:val="28"/>
          <w:szCs w:val="28"/>
        </w:rPr>
        <w:t xml:space="preserve"> преподаватель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выбирает из желающих или передает мяч заранее намеченному студенту. В дальнейшем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мяч находится у студентов до конца игры (или до конца каждого раунда).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3. Регламент игры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3.1. За каждый правильный ответ студент получает очко (жетон, фишку, карточку и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т.п.) Жетон студент кладет на стол перед собой так, чтобы его было видно преподавателю.</w:t>
      </w:r>
    </w:p>
    <w:p w:rsidR="009B7E7A" w:rsidRPr="009B7E7A" w:rsidRDefault="009B7E7A" w:rsidP="00FE0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3.2. Игра может состоять из одного или нескольких раундов. Раундом называется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период, в течение которого каждый студент группы ответил на одинаковое число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вопросов от 1 до 5</w:t>
      </w:r>
      <w:r w:rsidR="00FE0B99">
        <w:rPr>
          <w:rFonts w:ascii="Times New Roman" w:hAnsi="Times New Roman" w:cs="Times New Roman"/>
          <w:sz w:val="28"/>
          <w:szCs w:val="28"/>
        </w:rPr>
        <w:t>.</w:t>
      </w:r>
      <w:r w:rsidRPr="009B7E7A">
        <w:rPr>
          <w:rFonts w:ascii="Times New Roman" w:hAnsi="Times New Roman" w:cs="Times New Roman"/>
          <w:sz w:val="28"/>
          <w:szCs w:val="28"/>
        </w:rPr>
        <w:t xml:space="preserve"> Если студент уже набрал максимальное для длимого раунда количество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очков, он не имеет права ответа до тех пор, пока вся ост</w:t>
      </w:r>
      <w:r w:rsidR="00FE0B99">
        <w:rPr>
          <w:rFonts w:ascii="Times New Roman" w:hAnsi="Times New Roman" w:cs="Times New Roman"/>
          <w:sz w:val="28"/>
          <w:szCs w:val="28"/>
        </w:rPr>
        <w:t xml:space="preserve">альная группа не наберет это же </w:t>
      </w:r>
      <w:r w:rsidRPr="009B7E7A">
        <w:rPr>
          <w:rFonts w:ascii="Times New Roman" w:hAnsi="Times New Roman" w:cs="Times New Roman"/>
          <w:sz w:val="28"/>
          <w:szCs w:val="28"/>
        </w:rPr>
        <w:t>количество.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3.3. Если студент отвечает неправильно, преподаватель может либо оставить одно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очко себе (то есть группа проиграла одно очко), либо разрешить передачу хода тому, кто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знает правильный ответ из тех студентов, которые еще не набрали максимальное для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данного раунда количество очков. Ответивший (правильно или неправильно) должен</w:t>
      </w:r>
      <w:r w:rsidR="00FE0B99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оставлять мяч у себя и передавать его только следующему отвечающему.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3.4. Игра заканчивается победой группы, если: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1) все студенты набрали одинаковое количество очков, которое оговаривается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заранее (обычно от 3 до 7, в зависимости от численности группы), а преподаватель еще не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набрал своего лимита очков - неверных или вообще не полученных ответов;</w:t>
      </w:r>
    </w:p>
    <w:p w:rsidR="009B7E7A" w:rsidRPr="009B7E7A" w:rsidRDefault="00E7426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B7E7A" w:rsidRPr="009B7E7A">
        <w:rPr>
          <w:rFonts w:ascii="Times New Roman" w:hAnsi="Times New Roman" w:cs="Times New Roman"/>
          <w:sz w:val="28"/>
          <w:szCs w:val="28"/>
        </w:rPr>
        <w:t xml:space="preserve"> студенты победили в большем, чем преподаватель, количестве раундов, общее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E7A" w:rsidRPr="009B7E7A">
        <w:rPr>
          <w:rFonts w:ascii="Times New Roman" w:hAnsi="Times New Roman" w:cs="Times New Roman"/>
          <w:sz w:val="28"/>
          <w:szCs w:val="28"/>
        </w:rPr>
        <w:t>число которых оговаривается заранее и должно быть нечетным; победа в отдельном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E7A" w:rsidRPr="009B7E7A">
        <w:rPr>
          <w:rFonts w:ascii="Times New Roman" w:hAnsi="Times New Roman" w:cs="Times New Roman"/>
          <w:sz w:val="28"/>
          <w:szCs w:val="28"/>
        </w:rPr>
        <w:t>раунде присуждается по правилам пункта 1.</w:t>
      </w:r>
    </w:p>
    <w:p w:rsidR="00E74267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 xml:space="preserve">Игра заканчивается поражением, и ни одни игрок зачета не получает, если: </w:t>
      </w:r>
    </w:p>
    <w:p w:rsidR="00E74267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1)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преподаватель набирает заранее оговоренное количество очков, которые он получает,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если группа неверно отвечает или не отвечает вообще (другими словами, когда группа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исчерпала лимит штрафных очков, которые могут также даваться за подсказки или другие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нарушения правил); количество </w:t>
      </w:r>
      <w:r w:rsidRPr="009B7E7A">
        <w:rPr>
          <w:rFonts w:ascii="Times New Roman" w:hAnsi="Times New Roman" w:cs="Times New Roman"/>
          <w:sz w:val="28"/>
          <w:szCs w:val="28"/>
        </w:rPr>
        <w:lastRenderedPageBreak/>
        <w:t>таких очков должно быть не менее трех, максимум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зависит от численности группы и уровня сложности вопросов; 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2) счет выигранных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раундов после завершения игры в пользу преподавателя.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Группа может выиграть, может проиграть, но в любом случае преподаватель не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должен стремиться к собственному выигрышу.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3.5. Нарушения. К нарушениям правил относятся подсказки, ответы дважды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подряд, ответ студента, не владеющего правом хода (мячом). За каждое нарушение дается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штрафное очко, идущее в актив преподавателя. Разумеется, штрафные очки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преподаватель должен начислять только в крайних случаях.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3.6 Тайм-аут. Тайм-аут дается группе на коллективное обдумывание ответа на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вопрос. Берет ли тайм-ау</w:t>
      </w:r>
      <w:r w:rsidR="00E74267">
        <w:rPr>
          <w:rFonts w:ascii="Times New Roman" w:hAnsi="Times New Roman" w:cs="Times New Roman"/>
          <w:sz w:val="28"/>
          <w:szCs w:val="28"/>
        </w:rPr>
        <w:t>т</w:t>
      </w:r>
      <w:r w:rsidRPr="009B7E7A">
        <w:rPr>
          <w:rFonts w:ascii="Times New Roman" w:hAnsi="Times New Roman" w:cs="Times New Roman"/>
          <w:sz w:val="28"/>
          <w:szCs w:val="28"/>
        </w:rPr>
        <w:t xml:space="preserve"> группа или он дается преподавателем - следует решить заранее,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но в любом случае тайм-аут происходит только при обоюдном согласии. Целесообразны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т</w:t>
      </w:r>
      <w:r w:rsidR="00E74267">
        <w:rPr>
          <w:rFonts w:ascii="Times New Roman" w:hAnsi="Times New Roman" w:cs="Times New Roman"/>
          <w:sz w:val="28"/>
          <w:szCs w:val="28"/>
        </w:rPr>
        <w:t>а</w:t>
      </w:r>
      <w:r w:rsidRPr="009B7E7A">
        <w:rPr>
          <w:rFonts w:ascii="Times New Roman" w:hAnsi="Times New Roman" w:cs="Times New Roman"/>
          <w:sz w:val="28"/>
          <w:szCs w:val="28"/>
        </w:rPr>
        <w:t>йм-ауты при ответах на сложные вопросы или в решающие моменты игры. Обычно на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обсуждение достаточно одной минуты, но время может варьироваться к зависимости от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сложности вопроса и от их численности. Если в игре разрешены тайм-ауты, то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целесообразно назначить капитана команды, который руководит ходом обсуждения и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назначает отвечающего. Тайм-аут может иметь форму помощи команды отвечающему. В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этом случае продолжительность тайм-аута должна быть незначительной. Количество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тайм-аутов каждый преподаватель определяет сам. Если игра идет по раундам, то можно</w:t>
      </w:r>
      <w:r w:rsidR="00E74267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рекомендовать один тайм-аут на каждый раунд.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Опросник (см.</w:t>
      </w:r>
      <w:r w:rsidR="00F56327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Pr="009B7E7A">
        <w:rPr>
          <w:rFonts w:ascii="Times New Roman" w:hAnsi="Times New Roman" w:cs="Times New Roman"/>
          <w:sz w:val="28"/>
          <w:szCs w:val="28"/>
        </w:rPr>
        <w:t xml:space="preserve"> «Вопросы к игровому занятию») представляет собой рабочую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часть методики, то есть при работе с группой вопросы каждой темь: могут считываться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подряд друг за другом. Можно задавать их вразброс, однако при этом следует помнить,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что некоторые вопросы, хотя, и сформулированы по-другому, иногда дублируют друг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друга и предполагают определенную последовательность. Такие вопросы следует задавать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 учетом ответов на предыдущие.</w:t>
      </w:r>
    </w:p>
    <w:p w:rsidR="009168E4" w:rsidRDefault="009168E4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E7A" w:rsidRPr="009168E4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8E4">
        <w:rPr>
          <w:rFonts w:ascii="Times New Roman" w:hAnsi="Times New Roman" w:cs="Times New Roman"/>
          <w:b/>
          <w:sz w:val="28"/>
          <w:szCs w:val="28"/>
        </w:rPr>
        <w:t>Методы проблемного обучения</w:t>
      </w:r>
    </w:p>
    <w:p w:rsidR="009168E4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Под проблемным обучением понимается система научно обоснованных методов и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средств, применяемая в процессе развивающего обучения, которая предполагает создание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под руководством преподавателя проблемных ситуаций и активную самостоятельную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9168E4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9B7E7A">
        <w:rPr>
          <w:rFonts w:ascii="Times New Roman" w:hAnsi="Times New Roman" w:cs="Times New Roman"/>
          <w:sz w:val="28"/>
          <w:szCs w:val="28"/>
        </w:rPr>
        <w:t>по их разрешению с целью, в первую очередь, интеллектуального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и творческого развития </w:t>
      </w:r>
      <w:r w:rsidR="009168E4" w:rsidRPr="009168E4">
        <w:rPr>
          <w:rFonts w:ascii="Times New Roman" w:hAnsi="Times New Roman" w:cs="Times New Roman"/>
          <w:sz w:val="28"/>
          <w:szCs w:val="28"/>
        </w:rPr>
        <w:t>студентов</w:t>
      </w:r>
      <w:r w:rsidRPr="009B7E7A">
        <w:rPr>
          <w:rFonts w:ascii="Times New Roman" w:hAnsi="Times New Roman" w:cs="Times New Roman"/>
          <w:sz w:val="28"/>
          <w:szCs w:val="28"/>
        </w:rPr>
        <w:t>, а также овладения ими знаниями, навыками, умениями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и способами познания. 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Проблемное обучение обеспечивает возможности творческого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участия обучаемых в процессе освоения новых знаний, формирование познавательных</w:t>
      </w:r>
    </w:p>
    <w:p w:rsidR="009B7E7A" w:rsidRPr="009B7E7A" w:rsidRDefault="009B7E7A" w:rsidP="00916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интересов и творческого мышления, высокую степень органичного усвоения знаний и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мотивации </w:t>
      </w:r>
      <w:r w:rsidR="009168E4">
        <w:rPr>
          <w:rFonts w:ascii="Times New Roman" w:hAnsi="Times New Roman" w:cs="Times New Roman"/>
          <w:sz w:val="28"/>
          <w:szCs w:val="28"/>
        </w:rPr>
        <w:t>студентов</w:t>
      </w:r>
      <w:r w:rsidRPr="009B7E7A">
        <w:rPr>
          <w:rFonts w:ascii="Times New Roman" w:hAnsi="Times New Roman" w:cs="Times New Roman"/>
          <w:sz w:val="28"/>
          <w:szCs w:val="28"/>
        </w:rPr>
        <w:t>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lastRenderedPageBreak/>
        <w:t>Проблемное обучение можно отнести к личностно-ориентированным концепциям,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так как оно применяется для того, чтобы у студентов развивалось творческое мышление,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интеллект.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Основой для этого является моделирование реального творческого процесса за счет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создания проблемной ситуации и управления поиском решения проблемы. При этом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осознание, принятие и разрешение этих проблемных ситуаций происходит при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оптимальной самостоятельности учащихся, но под общим направляющим руководством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педагога в ходе совместного взаимодействия.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 xml:space="preserve">Проблемное обучение используется на кафедре </w:t>
      </w:r>
      <w:r w:rsidR="009168E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68E4">
        <w:rPr>
          <w:rFonts w:ascii="Times New Roman" w:hAnsi="Times New Roman" w:cs="Times New Roman"/>
          <w:sz w:val="28"/>
          <w:szCs w:val="28"/>
        </w:rPr>
        <w:t>ТиМФК</w:t>
      </w:r>
      <w:proofErr w:type="spellEnd"/>
      <w:r w:rsidR="009168E4">
        <w:rPr>
          <w:rFonts w:ascii="Times New Roman" w:hAnsi="Times New Roman" w:cs="Times New Roman"/>
          <w:sz w:val="28"/>
          <w:szCs w:val="28"/>
        </w:rPr>
        <w:t xml:space="preserve">» </w:t>
      </w:r>
      <w:r w:rsidRPr="009B7E7A">
        <w:rPr>
          <w:rFonts w:ascii="Times New Roman" w:hAnsi="Times New Roman" w:cs="Times New Roman"/>
          <w:sz w:val="28"/>
          <w:szCs w:val="28"/>
        </w:rPr>
        <w:t>при выполнении</w:t>
      </w:r>
      <w:r w:rsidR="009168E4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рефератов, индивидуальны</w:t>
      </w:r>
      <w:r w:rsidR="00AE6056">
        <w:rPr>
          <w:rFonts w:ascii="Times New Roman" w:hAnsi="Times New Roman" w:cs="Times New Roman"/>
          <w:sz w:val="28"/>
          <w:szCs w:val="28"/>
        </w:rPr>
        <w:t>х заданий</w:t>
      </w:r>
      <w:r w:rsidRPr="009B7E7A">
        <w:rPr>
          <w:rFonts w:ascii="Times New Roman" w:hAnsi="Times New Roman" w:cs="Times New Roman"/>
          <w:sz w:val="28"/>
          <w:szCs w:val="28"/>
        </w:rPr>
        <w:t>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При таком обучении существенно усиливается роль самостоятельного образования,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инициативность. Самостоятельный поиск решения проблемной ситуации развивает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чувство ответственности, повышает </w:t>
      </w:r>
      <w:proofErr w:type="spellStart"/>
      <w:r w:rsidRPr="009B7E7A">
        <w:rPr>
          <w:rFonts w:ascii="Times New Roman" w:hAnsi="Times New Roman" w:cs="Times New Roman"/>
          <w:sz w:val="28"/>
          <w:szCs w:val="28"/>
        </w:rPr>
        <w:t>самомотивацию</w:t>
      </w:r>
      <w:proofErr w:type="spellEnd"/>
      <w:r w:rsidRPr="009B7E7A">
        <w:rPr>
          <w:rFonts w:ascii="Times New Roman" w:hAnsi="Times New Roman" w:cs="Times New Roman"/>
          <w:sz w:val="28"/>
          <w:szCs w:val="28"/>
        </w:rPr>
        <w:t>, волю учащихся. Кроме того, в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процессе проблемного обучения предполагается, что </w:t>
      </w:r>
      <w:r w:rsidR="00AE6056">
        <w:rPr>
          <w:rFonts w:ascii="Times New Roman" w:hAnsi="Times New Roman" w:cs="Times New Roman"/>
          <w:sz w:val="28"/>
          <w:szCs w:val="28"/>
        </w:rPr>
        <w:t>студенты</w:t>
      </w:r>
      <w:r w:rsidRPr="009B7E7A">
        <w:rPr>
          <w:rFonts w:ascii="Times New Roman" w:hAnsi="Times New Roman" w:cs="Times New Roman"/>
          <w:sz w:val="28"/>
          <w:szCs w:val="28"/>
        </w:rPr>
        <w:t xml:space="preserve"> будут самостоятельно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выбирать и обрабатывать самые разные источники информации, в том числе и те, с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которыми они будут работать в последующем, и обращаться к этим источникам им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приходится чаще, чем тем, кто обучается по традиционной программе. Групповая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организация работы </w:t>
      </w:r>
      <w:r w:rsidR="00AE6056">
        <w:rPr>
          <w:rFonts w:ascii="Times New Roman" w:hAnsi="Times New Roman" w:cs="Times New Roman"/>
          <w:sz w:val="28"/>
          <w:szCs w:val="28"/>
        </w:rPr>
        <w:t>студентов</w:t>
      </w:r>
      <w:r w:rsidRPr="009B7E7A">
        <w:rPr>
          <w:rFonts w:ascii="Times New Roman" w:hAnsi="Times New Roman" w:cs="Times New Roman"/>
          <w:sz w:val="28"/>
          <w:szCs w:val="28"/>
        </w:rPr>
        <w:t xml:space="preserve"> в процессе проблемного обучения приводит к укреплению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межличностных отношений, развивает взаимодействие в учебном микросоциуме:</w:t>
      </w:r>
      <w:r w:rsidR="00AE6056">
        <w:rPr>
          <w:rFonts w:ascii="Times New Roman" w:hAnsi="Times New Roman" w:cs="Times New Roman"/>
          <w:sz w:val="28"/>
          <w:szCs w:val="28"/>
        </w:rPr>
        <w:t xml:space="preserve"> р</w:t>
      </w:r>
      <w:r w:rsidRPr="009B7E7A">
        <w:rPr>
          <w:rFonts w:ascii="Times New Roman" w:hAnsi="Times New Roman" w:cs="Times New Roman"/>
          <w:sz w:val="28"/>
          <w:szCs w:val="28"/>
        </w:rPr>
        <w:t>ешение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проблемных задач производится, как правило, в группах небольшого и среднего размера.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В случае применения</w:t>
      </w:r>
      <w:r w:rsidR="00AE60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группового метода проблемного обучения </w:t>
      </w:r>
      <w:r w:rsidR="00AE6056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Pr="009B7E7A">
        <w:rPr>
          <w:rFonts w:ascii="Times New Roman" w:hAnsi="Times New Roman" w:cs="Times New Roman"/>
          <w:sz w:val="28"/>
          <w:szCs w:val="28"/>
        </w:rPr>
        <w:t>получают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навыки коллегиального решения рабочих проблем.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Чрезвычайно важной функцией проблемного обучения можно назвать и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повышение мотивации учащихся. Как говорил еще </w:t>
      </w:r>
      <w:proofErr w:type="spellStart"/>
      <w:r w:rsidRPr="009B7E7A">
        <w:rPr>
          <w:rFonts w:ascii="Times New Roman" w:hAnsi="Times New Roman" w:cs="Times New Roman"/>
          <w:sz w:val="28"/>
          <w:szCs w:val="28"/>
        </w:rPr>
        <w:t>Г.Галилей</w:t>
      </w:r>
      <w:proofErr w:type="spellEnd"/>
      <w:r w:rsidRPr="009B7E7A">
        <w:rPr>
          <w:rFonts w:ascii="Times New Roman" w:hAnsi="Times New Roman" w:cs="Times New Roman"/>
          <w:sz w:val="28"/>
          <w:szCs w:val="28"/>
        </w:rPr>
        <w:t>, «вы не в состоянии научить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человека чему-либо. Вы можете лишь помочь ему обнаружить это внутри себя». Без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мотивации учебная деятельность, как и любая другая, практически невозможна. В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традиционной системе преподавания мотивация осуществляется известным методом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кнута и пряника или же основные усилия педагога по мотивации учащихся направлены на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объяснение важности обучения для будущей деятельности учащихся, что также не всегда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эффективно. В ненаучной сфере такой подход получил название «знание – силой». Без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обратной положительной реакции учащихся учебный процесс или теряет свою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эффективность, или приводит к значительному утомлению </w:t>
      </w:r>
      <w:r w:rsidR="0022242F">
        <w:rPr>
          <w:rFonts w:ascii="Times New Roman" w:hAnsi="Times New Roman" w:cs="Times New Roman"/>
          <w:sz w:val="28"/>
          <w:szCs w:val="28"/>
        </w:rPr>
        <w:t>студентов</w:t>
      </w:r>
      <w:r w:rsidRPr="009B7E7A">
        <w:rPr>
          <w:rFonts w:ascii="Times New Roman" w:hAnsi="Times New Roman" w:cs="Times New Roman"/>
          <w:sz w:val="28"/>
          <w:szCs w:val="28"/>
        </w:rPr>
        <w:t>, их эмоциональным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перегрузкам. В этом отношении проблемное обучение имеет более выигрышное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положение, так как его характеризует творческая, а не репродуктивная деятельность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учащихся, студенты получают больше возможности </w:t>
      </w:r>
      <w:proofErr w:type="spellStart"/>
      <w:r w:rsidRPr="009B7E7A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Pr="009B7E7A">
        <w:rPr>
          <w:rFonts w:ascii="Times New Roman" w:hAnsi="Times New Roman" w:cs="Times New Roman"/>
          <w:sz w:val="28"/>
          <w:szCs w:val="28"/>
        </w:rPr>
        <w:t xml:space="preserve"> в процессе обучения, постоянная постановка и решение проблемных задач является более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приемлемой для поддержания неослабевающего интереса и активности учащихся.</w:t>
      </w:r>
    </w:p>
    <w:p w:rsidR="0022242F" w:rsidRDefault="0022242F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E7A" w:rsidRPr="0022242F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42F">
        <w:rPr>
          <w:rFonts w:ascii="Times New Roman" w:hAnsi="Times New Roman" w:cs="Times New Roman"/>
          <w:b/>
          <w:sz w:val="28"/>
          <w:szCs w:val="28"/>
        </w:rPr>
        <w:t>Индивидуальное обучение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lastRenderedPageBreak/>
        <w:t>Индивидуальное обучение — это целостный процесс, обеспечивающий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поступательное развитие творческого потенциала личности и всестороннее обогащение ее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духовного мира. Он состоит из последовательно возвышающихся ступеней специально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организованной учебы, дающих человеку благоприятные для него изменения социального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статуса.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В центре внимания идеи индивидуального обучения находится студент, его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личность, желания и способности, разностороннему развитию которых уделяется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основное внимание.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Роль преподавателя сводится к доходчивому преподнесению познавательной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информации, содержание которой ориентируется на опережение развития общества,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профессиональной карьеры, личных навыков и качеств студентов, и других сфер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социальной практики. Помимо самих знаний, умений, навыков в содержание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индивидуального обучения входит сам процесс, опыт их приобретения и практического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применения, пути и способы самостоятельного добывания, поиска и открытия,</w:t>
      </w:r>
      <w:r w:rsidR="0022242F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самообразования — "личностный опыт" как компонент содержания образования.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В результате реализации индивидуального обучения преподаватель стремится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получить развивающуюся личность, подготовленную к универсальной деятельности,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имеющую сформированные познавательные запросы и духовные потребности, способную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самостоятельно планировать и реализовать свои цели.</w:t>
      </w:r>
    </w:p>
    <w:p w:rsidR="00013756" w:rsidRDefault="00013756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E7A" w:rsidRPr="00013756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756">
        <w:rPr>
          <w:rFonts w:ascii="Times New Roman" w:hAnsi="Times New Roman" w:cs="Times New Roman"/>
          <w:b/>
          <w:sz w:val="28"/>
          <w:szCs w:val="28"/>
        </w:rPr>
        <w:t>Исследовательские методы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Научно-исследовательская работа - это вид самостоятельной аналитической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деятельности обучающихся в области систематизированного изучения какого-либо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вопроса или актуальной проблемы, выходящих за рамки учебного процесса. Такая работа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способствует созданию общенаучного фундамента и выработке исследовательских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навыков. Основная идея исследовательского метода заключается в использовании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научного подхода к решению той или иной учебной задачи.</w:t>
      </w:r>
    </w:p>
    <w:p w:rsidR="00A36BED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 xml:space="preserve">На кафедре </w:t>
      </w:r>
      <w:r w:rsidR="0001375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13756">
        <w:rPr>
          <w:rFonts w:ascii="Times New Roman" w:hAnsi="Times New Roman" w:cs="Times New Roman"/>
          <w:sz w:val="28"/>
          <w:szCs w:val="28"/>
        </w:rPr>
        <w:t>ТиМФК</w:t>
      </w:r>
      <w:proofErr w:type="spellEnd"/>
      <w:r w:rsidR="00013756">
        <w:rPr>
          <w:rFonts w:ascii="Times New Roman" w:hAnsi="Times New Roman" w:cs="Times New Roman"/>
          <w:sz w:val="28"/>
          <w:szCs w:val="28"/>
        </w:rPr>
        <w:t xml:space="preserve">» </w:t>
      </w:r>
      <w:r w:rsidRPr="009B7E7A">
        <w:rPr>
          <w:rFonts w:ascii="Times New Roman" w:hAnsi="Times New Roman" w:cs="Times New Roman"/>
          <w:sz w:val="28"/>
          <w:szCs w:val="28"/>
        </w:rPr>
        <w:t>в обучении широко используются исследовательские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методы: работают научные студенческие кружки, в которых студенты активно принимают</w:t>
      </w:r>
      <w:r w:rsidR="00013756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участие в научных исследованиях, проводимых преподавателями кафедры. Использование исследовательского метода подразумевает следующие этапы</w:t>
      </w:r>
      <w:r w:rsidR="00A36BED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организации учебной деятельности: </w:t>
      </w:r>
    </w:p>
    <w:p w:rsidR="00A36BED" w:rsidRDefault="00A36BED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B7E7A" w:rsidRPr="009B7E7A">
        <w:rPr>
          <w:rFonts w:ascii="Times New Roman" w:hAnsi="Times New Roman" w:cs="Times New Roman"/>
          <w:sz w:val="28"/>
          <w:szCs w:val="28"/>
        </w:rPr>
        <w:t>определение общей темы исследования, предмета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E7A" w:rsidRPr="009B7E7A">
        <w:rPr>
          <w:rFonts w:ascii="Times New Roman" w:hAnsi="Times New Roman" w:cs="Times New Roman"/>
          <w:sz w:val="28"/>
          <w:szCs w:val="28"/>
        </w:rPr>
        <w:t>объекта исследования; выявление и формулирование общей проблемы; формулировку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E7A" w:rsidRPr="009B7E7A">
        <w:rPr>
          <w:rFonts w:ascii="Times New Roman" w:hAnsi="Times New Roman" w:cs="Times New Roman"/>
          <w:sz w:val="28"/>
          <w:szCs w:val="28"/>
        </w:rPr>
        <w:t xml:space="preserve">гипотез; </w:t>
      </w:r>
    </w:p>
    <w:p w:rsidR="00A36BED" w:rsidRDefault="00A36BED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B7E7A" w:rsidRPr="009B7E7A">
        <w:rPr>
          <w:rFonts w:ascii="Times New Roman" w:hAnsi="Times New Roman" w:cs="Times New Roman"/>
          <w:sz w:val="28"/>
          <w:szCs w:val="28"/>
        </w:rPr>
        <w:t>определение методов сбора и обработки данных в подтверждение выдвинутых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E7A" w:rsidRPr="009B7E7A">
        <w:rPr>
          <w:rFonts w:ascii="Times New Roman" w:hAnsi="Times New Roman" w:cs="Times New Roman"/>
          <w:sz w:val="28"/>
          <w:szCs w:val="28"/>
        </w:rPr>
        <w:t>гипотез;</w:t>
      </w:r>
    </w:p>
    <w:p w:rsidR="00A36BED" w:rsidRDefault="00A36BED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B7E7A" w:rsidRPr="009B7E7A">
        <w:rPr>
          <w:rFonts w:ascii="Times New Roman" w:hAnsi="Times New Roman" w:cs="Times New Roman"/>
          <w:sz w:val="28"/>
          <w:szCs w:val="28"/>
        </w:rPr>
        <w:t xml:space="preserve"> сбор данных; обсуждение полученных данных; проверку гипотез; формулировку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E7A" w:rsidRPr="009B7E7A">
        <w:rPr>
          <w:rFonts w:ascii="Times New Roman" w:hAnsi="Times New Roman" w:cs="Times New Roman"/>
          <w:sz w:val="28"/>
          <w:szCs w:val="28"/>
        </w:rPr>
        <w:t xml:space="preserve">понятий, обобщений, выводов; </w:t>
      </w:r>
    </w:p>
    <w:p w:rsidR="009B7E7A" w:rsidRPr="009B7E7A" w:rsidRDefault="00A36BED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B7E7A" w:rsidRPr="009B7E7A">
        <w:rPr>
          <w:rFonts w:ascii="Times New Roman" w:hAnsi="Times New Roman" w:cs="Times New Roman"/>
          <w:sz w:val="28"/>
          <w:szCs w:val="28"/>
        </w:rPr>
        <w:t>применение заключений, выводов.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Участвуя в научно-исследовательской работе, студенты усваивают готовые формы</w:t>
      </w:r>
      <w:r w:rsidR="00A36BED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социальной жизни, приобретают собственный социальный </w:t>
      </w:r>
      <w:r w:rsidRPr="009B7E7A">
        <w:rPr>
          <w:rFonts w:ascii="Times New Roman" w:hAnsi="Times New Roman" w:cs="Times New Roman"/>
          <w:sz w:val="28"/>
          <w:szCs w:val="28"/>
        </w:rPr>
        <w:lastRenderedPageBreak/>
        <w:t>опыт, занимают активную</w:t>
      </w:r>
      <w:r w:rsidR="00A36BED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жизненную позицию, которая помогает добиться позитивной самореализации.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Полученные в процессе творческой деятельности навыки и умения позволят учащимся</w:t>
      </w:r>
      <w:r w:rsidR="00A36BED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чувствовать себя приобщенными к культуре и науке, способными активно проявлять себя</w:t>
      </w:r>
      <w:r w:rsidR="00A36BED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на рынке труда, свободно распоряжаться образовательным капиталом. 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Достоинством исследовательского метода организации учебной деятельности</w:t>
      </w:r>
      <w:r w:rsidR="00A36BED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является привитие учащимся навыка сотрудничества. Участники исследовательской</w:t>
      </w:r>
      <w:r w:rsidR="00A36BED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деятельности не замыкаются на личностных интересах, учатся видеть проблемы и</w:t>
      </w:r>
      <w:r w:rsidR="00A36BED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интересы своих партнеров и понимать, что результаты их исследований будут</w:t>
      </w:r>
      <w:r w:rsidR="00A36BED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использованы для анализа полученных данных и формулирования выводов.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Проведение научного исследования с обучающимися имеет следующие цели: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 приобщить их к процессу выработки новых знаний;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 освоить один из нестандартных видов познавательной деятельности;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научить пользоваться нормативной, учебной, монографической литературой,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практическими материалами, статистическими данными, информационной системой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Интернет;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выработать умение работать с основными компьютерными программами;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предоставить возможность выступить публично, провести полемику, донести до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слушателей свою точку зрения, обосновать ее, склонить аудиторию к разделению своих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идей.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Исследовательская деятельность под руководством педагога позволяет</w:t>
      </w:r>
    </w:p>
    <w:p w:rsidR="009B7E7A" w:rsidRPr="009B7E7A" w:rsidRDefault="006C5403" w:rsidP="006C5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студентам</w:t>
      </w:r>
      <w:r w:rsidR="009B7E7A" w:rsidRPr="009B7E7A">
        <w:rPr>
          <w:rFonts w:ascii="Times New Roman" w:hAnsi="Times New Roman" w:cs="Times New Roman"/>
          <w:sz w:val="28"/>
          <w:szCs w:val="28"/>
        </w:rPr>
        <w:t>: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 овладеть существенными научными понятиями, представлениями;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самостоятельно определить проблемные ситуации, найти пути для их разрешения;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 точно описать факты, явления с применением общепризнанной технологии;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 приобрести навык подбора фактов по их существенным признакам;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сгруппировать факты, признаки в соответствии с общенаучными правилами;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 проанализировать факты и явления, вычленить из них общее и единое, случайное и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закономерное;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выстроить доказательство и давать опровержение.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При написании исследовательской работы у молодых людей развиваются умения: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 анализировать, систематизировать (анализ - это способ познания объекта посредством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изучения его частей и свойств);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 сравнивать (сравнение - это способ познания посредством установления сходства и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различия);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обобщать и классифицировать (обобщение - это способ познания посредством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определения общих существенных признаков); 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определять понятия (понятие - это слово или словосочетание, обозначающее отдельный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объект или совокупность объектов и их существенные признаки);</w:t>
      </w:r>
    </w:p>
    <w:p w:rsidR="009B7E7A" w:rsidRP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• доказывать и опровергать (доказательство - это рассуждение, устанавливающее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>истинность какого-либо утверждения путем приведения ранее доказанных утверждений.</w:t>
      </w:r>
    </w:p>
    <w:p w:rsidR="009B7E7A" w:rsidRDefault="009B7E7A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E7A">
        <w:rPr>
          <w:rFonts w:ascii="Times New Roman" w:hAnsi="Times New Roman" w:cs="Times New Roman"/>
          <w:sz w:val="28"/>
          <w:szCs w:val="28"/>
        </w:rPr>
        <w:t>Опровержение - это рассуждение, направленное на установление ложности выдвинутого</w:t>
      </w:r>
      <w:r w:rsidR="006C5403">
        <w:rPr>
          <w:rFonts w:ascii="Times New Roman" w:hAnsi="Times New Roman" w:cs="Times New Roman"/>
          <w:sz w:val="28"/>
          <w:szCs w:val="28"/>
        </w:rPr>
        <w:t xml:space="preserve"> </w:t>
      </w:r>
      <w:r w:rsidRPr="009B7E7A">
        <w:rPr>
          <w:rFonts w:ascii="Times New Roman" w:hAnsi="Times New Roman" w:cs="Times New Roman"/>
          <w:sz w:val="28"/>
          <w:szCs w:val="28"/>
        </w:rPr>
        <w:t xml:space="preserve">утверждения. </w:t>
      </w: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184" w:rsidRDefault="00FA2184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2FF" w:rsidRDefault="002302FF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184" w:rsidRDefault="00FA2184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9B7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F5632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2302FF" w:rsidRDefault="002302FF" w:rsidP="004C19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56327" w:rsidRDefault="00F56327" w:rsidP="004C19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игровому занятию</w:t>
      </w:r>
      <w:r w:rsidR="00774F98">
        <w:rPr>
          <w:rFonts w:ascii="Times New Roman" w:hAnsi="Times New Roman" w:cs="Times New Roman"/>
          <w:sz w:val="28"/>
          <w:szCs w:val="28"/>
        </w:rPr>
        <w:t xml:space="preserve"> по </w:t>
      </w:r>
      <w:r w:rsidR="006073B4">
        <w:rPr>
          <w:rFonts w:ascii="Times New Roman" w:hAnsi="Times New Roman" w:cs="Times New Roman"/>
          <w:sz w:val="28"/>
          <w:szCs w:val="28"/>
        </w:rPr>
        <w:t xml:space="preserve">дисциплине </w:t>
      </w:r>
      <w:r w:rsidR="00607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07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 биохимия</w:t>
      </w:r>
      <w:r w:rsidR="00607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073B4">
        <w:rPr>
          <w:rFonts w:ascii="Times New Roman" w:hAnsi="Times New Roman" w:cs="Times New Roman"/>
          <w:sz w:val="24"/>
          <w:szCs w:val="24"/>
        </w:rPr>
        <w:t xml:space="preserve"> </w:t>
      </w:r>
      <w:r w:rsidR="00DF70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Основные механизмы нервно-гормональной регуляции мышечной деятельности.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Биохимические сдвиги в скелетных мышцах, миокарде и печени.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Биохимические сдвиги в крови и моче.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Биохимические изменения в организме при утомлении. Виды, стадии утомления, причины при работе различного характера.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Биохимические изменения в организме в период отдыха после мышечной деятельности.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Биохимические изменения в организме в период «срочного» и «отставленного» восстановления.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4046">
        <w:rPr>
          <w:rFonts w:ascii="Times New Roman" w:hAnsi="Times New Roman" w:cs="Times New Roman"/>
          <w:sz w:val="28"/>
          <w:szCs w:val="28"/>
        </w:rPr>
        <w:t>Гетерохронизм</w:t>
      </w:r>
      <w:proofErr w:type="spellEnd"/>
      <w:r w:rsidRPr="00224046">
        <w:rPr>
          <w:rFonts w:ascii="Times New Roman" w:hAnsi="Times New Roman" w:cs="Times New Roman"/>
          <w:sz w:val="28"/>
          <w:szCs w:val="28"/>
        </w:rPr>
        <w:t xml:space="preserve"> процессов восстановления после физических нагрузок. Фазы восстановления.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Биохимическая характеристика двигательных качеств силы, быстроты, выносливости и методов их тренировки.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Биохимические изменения в организме при занятиях циклическими видами спорта.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Биохимические изменения в организме при занятиях ациклическими видами спорта.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Последовательность биохимических сдвигов в организме в процессе тренировки и по прекращении тренировки.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Понятие о срочном, отставленном и кумулятивном тренировочном эффектах.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Понятие о положительном и отрицательном тренировочных эффектах. Их биологическая характеристика, значение в построении трениро</w:t>
      </w:r>
      <w:r w:rsidRPr="00224046">
        <w:rPr>
          <w:rFonts w:ascii="Times New Roman" w:hAnsi="Times New Roman" w:cs="Times New Roman"/>
          <w:sz w:val="28"/>
          <w:szCs w:val="28"/>
        </w:rPr>
        <w:softHyphen/>
        <w:t>вочного процесса. Поддержание спортивной формы.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Виды, фазы и биохимические закономерности адаптации к мышечной деятельности.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АТФ – универсальный, биологический источник энергии, концентрация в мышечной ткани, причины стабильности при мышечной деятельности.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 xml:space="preserve">Биохимическая сущность процессов восстановления. Правило Энгельгардта и закон </w:t>
      </w:r>
      <w:proofErr w:type="spellStart"/>
      <w:r w:rsidRPr="00224046">
        <w:rPr>
          <w:rFonts w:ascii="Times New Roman" w:hAnsi="Times New Roman" w:cs="Times New Roman"/>
          <w:sz w:val="28"/>
          <w:szCs w:val="28"/>
        </w:rPr>
        <w:t>Вейгерта</w:t>
      </w:r>
      <w:proofErr w:type="spellEnd"/>
      <w:r w:rsidRPr="00224046">
        <w:rPr>
          <w:rFonts w:ascii="Times New Roman" w:hAnsi="Times New Roman" w:cs="Times New Roman"/>
          <w:sz w:val="28"/>
          <w:szCs w:val="28"/>
        </w:rPr>
        <w:t>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Принципы рационального питания спортсменов.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Энергопотребление организма и его зависимость от выполняемой работы.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Сбалансированность питательных веществ в рационе спортсменов.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 xml:space="preserve">Физиологические нормы основных и </w:t>
      </w:r>
      <w:proofErr w:type="spellStart"/>
      <w:r w:rsidRPr="00224046">
        <w:rPr>
          <w:rFonts w:ascii="Times New Roman" w:hAnsi="Times New Roman" w:cs="Times New Roman"/>
          <w:sz w:val="28"/>
          <w:szCs w:val="28"/>
        </w:rPr>
        <w:t>эссенциальных</w:t>
      </w:r>
      <w:proofErr w:type="spellEnd"/>
      <w:r w:rsidRPr="00224046">
        <w:rPr>
          <w:rFonts w:ascii="Times New Roman" w:hAnsi="Times New Roman" w:cs="Times New Roman"/>
          <w:sz w:val="28"/>
          <w:szCs w:val="28"/>
        </w:rPr>
        <w:t xml:space="preserve"> пищевых веществ для представителей различных возрастных групп и различных видов спорта.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Роль отдельных химических компонентов пищи в обеспечении мышечной деятельности.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Пищевые добавки в спорте.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lastRenderedPageBreak/>
        <w:t>Задачи и методы биохимического контроля в спорте.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Энергетическое обеспечение в мышечной деятельности в зоне большой мощности.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Биохимическая сущность, классификация физических упражнений по характеру нагрузки.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Пути образования и устранения молочной кислоты при мышечной деятельности.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 xml:space="preserve">Энергетическое обеспечение мышечной деятельности в зоне </w:t>
      </w:r>
      <w:proofErr w:type="spellStart"/>
      <w:r w:rsidRPr="00224046">
        <w:rPr>
          <w:rFonts w:ascii="Times New Roman" w:hAnsi="Times New Roman" w:cs="Times New Roman"/>
          <w:sz w:val="28"/>
          <w:szCs w:val="28"/>
        </w:rPr>
        <w:t>субмаксимальной</w:t>
      </w:r>
      <w:proofErr w:type="spellEnd"/>
      <w:r w:rsidRPr="00224046">
        <w:rPr>
          <w:rFonts w:ascii="Times New Roman" w:hAnsi="Times New Roman" w:cs="Times New Roman"/>
          <w:sz w:val="28"/>
          <w:szCs w:val="28"/>
        </w:rPr>
        <w:t xml:space="preserve"> мощности.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Энергетическое обеспечение мышечной деятельности в зоне умеренной мощности.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МАМ, биохимическая характеристика.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Биохимическая характеристика избранного вида спорта.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Биохимическое обоснование принципов спортивной тренировки.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Биохимическая характеристика тренированности.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Биохимическое обоснование современной классификации физических упражнений по зонам мощности.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Биохимические изменения в срочном тренирующем эффекте в зависимости от характера нагрузок.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>Энергетическое обеспечение мышечной деятельности в зоне максимальной мощности.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 xml:space="preserve">Баланс аэробных и анаэробных процессов в зависимости от мощности и продолжительности физической нагрузки.   </w:t>
      </w:r>
    </w:p>
    <w:p w:rsidR="002302FF" w:rsidRPr="00224046" w:rsidRDefault="002302FF" w:rsidP="002302F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24046">
        <w:rPr>
          <w:rFonts w:ascii="Times New Roman" w:hAnsi="Times New Roman" w:cs="Times New Roman"/>
          <w:sz w:val="28"/>
          <w:szCs w:val="28"/>
        </w:rPr>
        <w:t xml:space="preserve"> Значение мощности ПАНО в оценке аэробной работоспособности спортсменов.</w:t>
      </w:r>
    </w:p>
    <w:p w:rsidR="00DF7062" w:rsidRDefault="00DF7062" w:rsidP="004C19CE">
      <w:pPr>
        <w:shd w:val="clear" w:color="auto" w:fill="FFFFFF"/>
        <w:suppressAutoHyphens/>
        <w:autoSpaceDE w:val="0"/>
        <w:spacing w:after="0" w:line="240" w:lineRule="auto"/>
        <w:ind w:left="3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DF7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04614"/>
    <w:multiLevelType w:val="hybridMultilevel"/>
    <w:tmpl w:val="7B808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733485"/>
    <w:multiLevelType w:val="hybridMultilevel"/>
    <w:tmpl w:val="3ADEA078"/>
    <w:lvl w:ilvl="0" w:tplc="1A6A95E2">
      <w:start w:val="1"/>
      <w:numFmt w:val="bullet"/>
      <w:lvlText w:val="−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C11D7E"/>
    <w:multiLevelType w:val="hybridMultilevel"/>
    <w:tmpl w:val="51720D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0F7298"/>
    <w:multiLevelType w:val="hybridMultilevel"/>
    <w:tmpl w:val="D1987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6922C0"/>
    <w:multiLevelType w:val="hybridMultilevel"/>
    <w:tmpl w:val="B89CA6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B6441D"/>
    <w:multiLevelType w:val="hybridMultilevel"/>
    <w:tmpl w:val="9A9E2014"/>
    <w:lvl w:ilvl="0" w:tplc="1A6A95E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430CCF"/>
    <w:multiLevelType w:val="hybridMultilevel"/>
    <w:tmpl w:val="0BDC506E"/>
    <w:lvl w:ilvl="0" w:tplc="1A6A95E2">
      <w:start w:val="1"/>
      <w:numFmt w:val="bullet"/>
      <w:lvlText w:val="−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741E38"/>
    <w:multiLevelType w:val="hybridMultilevel"/>
    <w:tmpl w:val="151C23C2"/>
    <w:lvl w:ilvl="0" w:tplc="1A6A95E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DDA"/>
    <w:rsid w:val="00013756"/>
    <w:rsid w:val="000B63F8"/>
    <w:rsid w:val="00150DDA"/>
    <w:rsid w:val="0022242F"/>
    <w:rsid w:val="002302FF"/>
    <w:rsid w:val="00266D03"/>
    <w:rsid w:val="003463A9"/>
    <w:rsid w:val="00363ABF"/>
    <w:rsid w:val="00383F2C"/>
    <w:rsid w:val="00424694"/>
    <w:rsid w:val="00496EA0"/>
    <w:rsid w:val="004C19CE"/>
    <w:rsid w:val="004F54E1"/>
    <w:rsid w:val="006073B4"/>
    <w:rsid w:val="00650E05"/>
    <w:rsid w:val="006C5403"/>
    <w:rsid w:val="007610EA"/>
    <w:rsid w:val="00774F98"/>
    <w:rsid w:val="00855759"/>
    <w:rsid w:val="00893073"/>
    <w:rsid w:val="008C2D1E"/>
    <w:rsid w:val="009168E4"/>
    <w:rsid w:val="00993108"/>
    <w:rsid w:val="009B7E7A"/>
    <w:rsid w:val="00A36BED"/>
    <w:rsid w:val="00A613EE"/>
    <w:rsid w:val="00AE6056"/>
    <w:rsid w:val="00CB5706"/>
    <w:rsid w:val="00DF7062"/>
    <w:rsid w:val="00E56364"/>
    <w:rsid w:val="00E74267"/>
    <w:rsid w:val="00ED1888"/>
    <w:rsid w:val="00F56327"/>
    <w:rsid w:val="00FA2184"/>
    <w:rsid w:val="00FE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C36B5-16FC-4BB9-A6F3-4ACD6364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3596</Words>
  <Characters>20499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Я</dc:creator>
  <cp:keywords/>
  <dc:description/>
  <cp:lastModifiedBy>Анатолий Я</cp:lastModifiedBy>
  <cp:revision>16</cp:revision>
  <dcterms:created xsi:type="dcterms:W3CDTF">2017-09-12T15:13:00Z</dcterms:created>
  <dcterms:modified xsi:type="dcterms:W3CDTF">2018-04-23T06:13:00Z</dcterms:modified>
</cp:coreProperties>
</file>